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before="0" w:line="36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2">
      <w:pPr>
        <w:shd w:fill="ffffff" w:val="clear"/>
        <w:spacing w:after="0" w:before="0" w:line="36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hd w:fill="ffffff" w:val="clear"/>
        <w:spacing w:after="0" w:before="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spacing w:after="0" w:before="0" w:line="360" w:lineRule="auto"/>
        <w:jc w:val="center"/>
        <w:rPr>
          <w:rFonts w:ascii="Arial" w:cs="Arial" w:eastAsia="Arial" w:hAnsi="Arial"/>
          <w:color w:val="000000"/>
          <w:sz w:val="24"/>
          <w:szCs w:val="24"/>
        </w:rPr>
      </w:pPr>
      <w:r w:rsidDel="00000000" w:rsidR="00000000" w:rsidRPr="00000000">
        <w:rPr>
          <w:rFonts w:ascii="Arial" w:cs="Arial" w:eastAsia="Arial" w:hAnsi="Arial"/>
          <w:b w:val="1"/>
          <w:sz w:val="24"/>
          <w:szCs w:val="24"/>
          <w:rtl w:val="0"/>
        </w:rPr>
        <w:t xml:space="preserve">Logo of the Embassy of the Republic of Indonesia in</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center"/>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TECHNICAL SPECIFICATIONS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left"/>
        <w:rPr>
          <w:rFonts w:ascii="Arial" w:cs="Arial" w:eastAsia="Arial" w:hAnsi="Arial"/>
          <w:b w:val="1"/>
          <w:color w:val="1b1c1d"/>
          <w:sz w:val="24"/>
          <w:szCs w:val="24"/>
        </w:rPr>
      </w:pPr>
      <w:r w:rsidDel="00000000" w:rsidR="00000000" w:rsidRPr="00000000">
        <w:rPr>
          <w:rtl w:val="0"/>
        </w:rPr>
      </w:r>
    </w:p>
    <w:sdt>
      <w:sdtPr>
        <w:lock w:val="contentLocked"/>
        <w:id w:val="-1211715202"/>
        <w:tag w:val="goog_rdk_0"/>
      </w:sdtPr>
      <w:sdtContent>
        <w:tbl>
          <w:tblPr>
            <w:tblStyle w:val="Table1"/>
            <w:tblW w:w="9045.0" w:type="dxa"/>
            <w:jc w:val="center"/>
            <w:tblLayout w:type="fixed"/>
            <w:tblLook w:val="0600"/>
          </w:tblPr>
          <w:tblGrid>
            <w:gridCol w:w="4065"/>
            <w:gridCol w:w="315"/>
            <w:gridCol w:w="4665"/>
            <w:tblGridChange w:id="0">
              <w:tblGrid>
                <w:gridCol w:w="4065"/>
                <w:gridCol w:w="315"/>
                <w:gridCol w:w="4665"/>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C">
                <w:pPr>
                  <w:pBdr>
                    <w:top w:color="000000" w:space="0" w:sz="0" w:val="none"/>
                    <w:bottom w:color="000000" w:space="0" w:sz="0" w:val="none"/>
                    <w:between w:color="000000" w:space="0" w:sz="0" w:val="none"/>
                  </w:pBdr>
                  <w:shd w:fill="ffffff" w:val="clear"/>
                  <w:tabs>
                    <w:tab w:val="left" w:leader="none" w:pos="900"/>
                  </w:tabs>
                  <w:spacing w:after="0" w:line="360" w:lineRule="auto"/>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WORK UNIT</w:t>
                </w:r>
              </w:p>
            </w:tc>
            <w:tc>
              <w:tcPr>
                <w:shd w:fill="auto" w:val="clear"/>
                <w:tcMar>
                  <w:top w:w="0.0" w:type="dxa"/>
                  <w:left w:w="0.0" w:type="dxa"/>
                  <w:bottom w:w="0.0" w:type="dxa"/>
                  <w:right w:w="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EMBASSY OF THE REPUBLIC OF INDONESIA IN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COMMITMENT MAKING OFFICIAL</w:t>
                </w:r>
              </w:p>
            </w:tc>
            <w:tc>
              <w:tcPr>
                <w:shd w:fill="auto" w:val="clear"/>
                <w:tcMar>
                  <w:top w:w="0.0" w:type="dxa"/>
                  <w:left w:w="0.0" w:type="dxa"/>
                  <w:bottom w:w="0.0" w:type="dxa"/>
                  <w:right w:w="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tl w:val="0"/>
                  </w:rPr>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NAME OF PROJECT</w:t>
                </w:r>
              </w:p>
            </w:tc>
            <w:tc>
              <w:tcPr>
                <w:shd w:fill="auto" w:val="clear"/>
                <w:tcMar>
                  <w:top w:w="0.0" w:type="dxa"/>
                  <w:left w:w="0.0" w:type="dxa"/>
                  <w:bottom w:w="0.0" w:type="dxa"/>
                  <w:right w:w="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w:t>
                </w:r>
              </w:p>
            </w:tc>
            <w:tc>
              <w:tcPr>
                <w:shd w:fill="auto" w:val="clear"/>
                <w:tcMar>
                  <w:top w:w="0.0" w:type="dxa"/>
                  <w:left w:w="0.0" w:type="dxa"/>
                  <w:bottom w:w="0.0" w:type="dxa"/>
                  <w:right w:w="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PROCUREMENT OF </w:t>
                </w:r>
              </w:p>
            </w:tc>
          </w:tr>
        </w:tbl>
      </w:sdtContent>
    </w:sdt>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center"/>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16">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7">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8">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9">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A">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B">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C">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D">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E">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1F">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0">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1">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2">
      <w:pP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3">
      <w:pPr>
        <w:shd w:fill="ffffff" w:val="clear"/>
        <w:tabs>
          <w:tab w:val="left" w:leader="none" w:pos="900"/>
        </w:tabs>
        <w:spacing w:after="0" w:line="360" w:lineRule="auto"/>
        <w:jc w:val="center"/>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TECHNICAL SPECIFICATIONS</w:t>
      </w:r>
    </w:p>
    <w:p w:rsidR="00000000" w:rsidDel="00000000" w:rsidP="00000000" w:rsidRDefault="00000000" w:rsidRPr="00000000" w14:paraId="00000024">
      <w:pPr>
        <w:widowControl w:val="0"/>
        <w:spacing w:after="0" w:line="360" w:lineRule="auto"/>
        <w:jc w:val="center"/>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PROCUREMENT OF </w:t>
      </w:r>
    </w:p>
    <w:p w:rsidR="00000000" w:rsidDel="00000000" w:rsidP="00000000" w:rsidRDefault="00000000" w:rsidRPr="00000000" w14:paraId="00000025">
      <w:pPr>
        <w:widowControl w:val="0"/>
        <w:spacing w:after="0" w:line="360" w:lineRule="auto"/>
        <w:jc w:val="center"/>
        <w:rPr>
          <w:rFonts w:ascii="Arial" w:cs="Arial" w:eastAsia="Arial" w:hAnsi="Arial"/>
          <w:b w:val="1"/>
          <w:color w:val="1b1c1d"/>
          <w:sz w:val="24"/>
          <w:szCs w:val="24"/>
        </w:rPr>
      </w:pPr>
      <w:r w:rsidDel="00000000" w:rsidR="00000000" w:rsidRPr="00000000">
        <w:rPr>
          <w:rtl w:val="0"/>
        </w:rPr>
      </w:r>
    </w:p>
    <w:p w:rsidR="00000000" w:rsidDel="00000000" w:rsidP="00000000" w:rsidRDefault="00000000" w:rsidRPr="00000000" w14:paraId="00000026">
      <w:pPr>
        <w:pBdr>
          <w:top w:color="000000" w:space="0" w:sz="0" w:val="none"/>
          <w:bottom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7">
      <w:pPr>
        <w:numPr>
          <w:ilvl w:val="0"/>
          <w:numId w:val="4"/>
        </w:numPr>
        <w:pBdr>
          <w:top w:color="000000" w:space="0" w:sz="0" w:val="none"/>
          <w:bottom w:color="000000" w:space="0" w:sz="0" w:val="none"/>
          <w:between w:color="000000" w:space="0" w:sz="0" w:val="none"/>
        </w:pBdr>
        <w:shd w:fill="ffffff" w:val="clear"/>
        <w:tabs>
          <w:tab w:val="left" w:leader="none" w:pos="900"/>
        </w:tabs>
        <w:spacing w:after="0" w:line="360" w:lineRule="auto"/>
        <w:ind w:left="720" w:hanging="360"/>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WORK LOCATION</w:t>
      </w:r>
    </w:p>
    <w:p w:rsidR="00000000" w:rsidDel="00000000" w:rsidP="00000000" w:rsidRDefault="00000000" w:rsidRPr="00000000" w14:paraId="00000028">
      <w:pPr>
        <w:pBdr>
          <w:top w:color="000000" w:space="0" w:sz="0" w:val="none"/>
          <w:bottom w:color="000000" w:space="0" w:sz="0" w:val="none"/>
          <w:between w:color="000000" w:space="0" w:sz="0" w:val="none"/>
        </w:pBdr>
        <w:shd w:fill="ffffff" w:val="clear"/>
        <w:tabs>
          <w:tab w:val="left" w:leader="none" w:pos="900"/>
        </w:tabs>
        <w:spacing w:after="0" w:line="360" w:lineRule="auto"/>
        <w:ind w:left="72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9">
      <w:pPr>
        <w:pBdr>
          <w:top w:color="000000" w:space="0" w:sz="0" w:val="none"/>
          <w:bottom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720" w:right="0" w:hanging="360"/>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GENERAL PROVISIONS</w:t>
      </w:r>
    </w:p>
    <w:p w:rsidR="00000000" w:rsidDel="00000000" w:rsidP="00000000" w:rsidRDefault="00000000" w:rsidRPr="00000000" w14:paraId="0000002B">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b w:val="1"/>
          <w:color w:val="1b1c1d"/>
          <w:sz w:val="24"/>
          <w:szCs w:val="24"/>
          <w:rtl w:val="0"/>
        </w:rPr>
        <w:t xml:space="preserve">Scope of Work</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scope of the Procurement of </w:t>
      </w:r>
    </w:p>
    <w:p w:rsidR="00000000" w:rsidDel="00000000" w:rsidP="00000000" w:rsidRDefault="00000000" w:rsidRPr="00000000" w14:paraId="0000002D">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b w:val="1"/>
          <w:color w:val="1b1c1d"/>
          <w:sz w:val="24"/>
          <w:szCs w:val="24"/>
          <w:rtl w:val="0"/>
        </w:rPr>
        <w:t xml:space="preserve">Work Period</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time required t</w:t>
      </w:r>
    </w:p>
    <w:p w:rsidR="00000000" w:rsidDel="00000000" w:rsidP="00000000" w:rsidRDefault="00000000" w:rsidRPr="00000000" w14:paraId="00000030">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b w:val="1"/>
          <w:color w:val="1b1c1d"/>
          <w:sz w:val="24"/>
          <w:szCs w:val="24"/>
          <w:rtl w:val="0"/>
        </w:rPr>
        <w:t xml:space="preserve">Provisions for Work Implementation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2"/>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Work Facilities</w:t>
      </w:r>
    </w:p>
    <w:p w:rsidR="00000000" w:rsidDel="00000000" w:rsidP="00000000" w:rsidRDefault="00000000" w:rsidRPr="00000000" w14:paraId="00000033">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must present a work implementation schedule.</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must present the identity of the workplace and the name, position, and expertise of each member of the Work Executor team.</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is obliged and must provide all types of tools, equipment, and work supplies needed for the implementation of the work.</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must provide a storage area for materials in a location safe from all damage, loss, and other things that could disrupt the work.</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must maintain ethical behavior and politeness while working within the Indonesian Embassy 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All facilities used must be in excellent condition and meet work requirements to ensure the work proceeds smoothly and easily.</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2"/>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Reporting</w:t>
      </w:r>
    </w:p>
    <w:p w:rsidR="00000000" w:rsidDel="00000000" w:rsidP="00000000" w:rsidRDefault="00000000" w:rsidRPr="00000000" w14:paraId="0000003B">
      <w:pPr>
        <w:keepNext w:val="0"/>
        <w:keepLines w:val="0"/>
        <w:pageBreakBefore w:val="0"/>
        <w:widowControl w:val="1"/>
        <w:numPr>
          <w:ilvl w:val="0"/>
          <w:numId w:val="5"/>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At the time of the 100% work handover, the Work Executor must submit As-Built Drawings / before and after pictures.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Work Executor is required to create monthly reports (in hardcopy and softcopy format).</w:t>
      </w:r>
      <w:r w:rsidDel="00000000" w:rsidR="00000000" w:rsidRPr="00000000">
        <w:rPr>
          <w:rFonts w:ascii="Arial" w:cs="Arial" w:eastAsia="Arial" w:hAnsi="Arial"/>
          <w:color w:val="575b5f"/>
          <w:sz w:val="24"/>
          <w:szCs w:val="24"/>
          <w:highlight w:val="white"/>
          <w:vertAlign w:val="superscript"/>
          <w:rtl w:val="0"/>
        </w:rPr>
        <w:t xml:space="preserve"> </w:t>
      </w:r>
      <w:r w:rsidDel="00000000" w:rsidR="00000000" w:rsidRPr="00000000">
        <w:rPr>
          <w:rFonts w:ascii="Arial" w:cs="Arial" w:eastAsia="Arial" w:hAnsi="Arial"/>
          <w:color w:val="1b1c1d"/>
          <w:sz w:val="24"/>
          <w:szCs w:val="24"/>
          <w:rtl w:val="0"/>
        </w:rPr>
        <w:t xml:space="preserve">All reports are to be made in 2 copies, consisting of:</w:t>
      </w:r>
      <w:r w:rsidDel="00000000" w:rsidR="00000000" w:rsidRPr="00000000">
        <w:rPr>
          <w:rtl w:val="0"/>
        </w:rPr>
      </w:r>
    </w:p>
    <w:p w:rsidR="00000000" w:rsidDel="00000000" w:rsidP="00000000" w:rsidRDefault="00000000" w:rsidRPr="00000000" w14:paraId="0000003D">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3058.8000000000006"/>
        </w:tabs>
        <w:spacing w:after="0" w:line="360" w:lineRule="auto"/>
        <w:ind w:left="3060" w:hanging="360"/>
        <w:rPr>
          <w:sz w:val="24"/>
          <w:szCs w:val="24"/>
        </w:rPr>
      </w:pPr>
      <w:r w:rsidDel="00000000" w:rsidR="00000000" w:rsidRPr="00000000">
        <w:rPr>
          <w:rFonts w:ascii="Arial" w:cs="Arial" w:eastAsia="Arial" w:hAnsi="Arial"/>
          <w:color w:val="1b1c1d"/>
          <w:sz w:val="24"/>
          <w:szCs w:val="24"/>
          <w:rtl w:val="0"/>
        </w:rPr>
        <w:t xml:space="preserve">1 copy for the Commitment Making Official.</w:t>
      </w:r>
      <w:r w:rsidDel="00000000" w:rsidR="00000000" w:rsidRPr="00000000">
        <w:rPr>
          <w:rtl w:val="0"/>
        </w:rPr>
      </w:r>
    </w:p>
    <w:p w:rsidR="00000000" w:rsidDel="00000000" w:rsidP="00000000" w:rsidRDefault="00000000" w:rsidRPr="00000000" w14:paraId="0000003E">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3058.8000000000006"/>
        </w:tabs>
        <w:spacing w:after="0" w:line="360" w:lineRule="auto"/>
        <w:ind w:left="3060" w:hanging="360"/>
        <w:rPr>
          <w:sz w:val="24"/>
          <w:szCs w:val="24"/>
        </w:rPr>
      </w:pPr>
      <w:r w:rsidDel="00000000" w:rsidR="00000000" w:rsidRPr="00000000">
        <w:rPr>
          <w:rFonts w:ascii="Arial" w:cs="Arial" w:eastAsia="Arial" w:hAnsi="Arial"/>
          <w:color w:val="1b1c1d"/>
          <w:sz w:val="24"/>
          <w:szCs w:val="24"/>
          <w:rtl w:val="0"/>
        </w:rPr>
        <w:t xml:space="preserve">1 copy for the Head of Mission of the Indonesian Embassy in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This report will be checked and approved by the PPK, assisted by the Technical Team at the Mission, and will contain:</w:t>
      </w:r>
    </w:p>
    <w:p w:rsidR="00000000" w:rsidDel="00000000" w:rsidP="00000000" w:rsidRDefault="00000000" w:rsidRPr="00000000" w14:paraId="00000040">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3058.8000000000006"/>
        </w:tabs>
        <w:spacing w:after="0" w:line="360" w:lineRule="auto"/>
        <w:ind w:left="3060" w:hanging="360"/>
        <w:rPr>
          <w:sz w:val="24"/>
          <w:szCs w:val="24"/>
        </w:rPr>
      </w:pPr>
      <w:r w:rsidDel="00000000" w:rsidR="00000000" w:rsidRPr="00000000">
        <w:rPr>
          <w:rFonts w:ascii="Arial" w:cs="Arial" w:eastAsia="Arial" w:hAnsi="Arial"/>
          <w:color w:val="1b1c1d"/>
          <w:sz w:val="24"/>
          <w:szCs w:val="24"/>
          <w:rtl w:val="0"/>
        </w:rPr>
        <w:t xml:space="preserve">Type and quantity of work performed;</w:t>
      </w:r>
      <w:r w:rsidDel="00000000" w:rsidR="00000000" w:rsidRPr="00000000">
        <w:rPr>
          <w:rtl w:val="0"/>
        </w:rPr>
      </w:r>
    </w:p>
    <w:p w:rsidR="00000000" w:rsidDel="00000000" w:rsidP="00000000" w:rsidRDefault="00000000" w:rsidRPr="00000000" w14:paraId="00000041">
      <w:pPr>
        <w:numPr>
          <w:ilvl w:val="0"/>
          <w:numId w:val="9"/>
        </w:numPr>
        <w:pBdr>
          <w:top w:color="000000" w:space="0" w:sz="0" w:val="none"/>
          <w:bottom w:color="000000" w:space="0" w:sz="0" w:val="none"/>
          <w:right w:color="000000" w:space="0" w:sz="0" w:val="none"/>
          <w:between w:color="000000" w:space="0" w:sz="0" w:val="none"/>
        </w:pBdr>
        <w:shd w:fill="ffffff" w:val="clear"/>
        <w:tabs>
          <w:tab w:val="left" w:leader="none" w:pos="3058.8000000000006"/>
        </w:tabs>
        <w:spacing w:after="0" w:line="360" w:lineRule="auto"/>
        <w:ind w:left="3060" w:hanging="360"/>
        <w:rPr>
          <w:sz w:val="24"/>
          <w:szCs w:val="24"/>
        </w:rPr>
      </w:pPr>
      <w:r w:rsidDel="00000000" w:rsidR="00000000" w:rsidRPr="00000000">
        <w:rPr>
          <w:rFonts w:ascii="Arial" w:cs="Arial" w:eastAsia="Arial" w:hAnsi="Arial"/>
          <w:color w:val="1b1c1d"/>
          <w:sz w:val="24"/>
          <w:szCs w:val="24"/>
          <w:rtl w:val="0"/>
        </w:rPr>
        <w:t xml:space="preserve">Other notes related to the implementation of the work.</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Minutes of Handover of Work Results (First Handover);</w:t>
      </w:r>
    </w:p>
    <w:p w:rsidR="00000000" w:rsidDel="00000000" w:rsidP="00000000" w:rsidRDefault="00000000" w:rsidRPr="00000000" w14:paraId="00000043">
      <w:pPr>
        <w:keepNext w:val="0"/>
        <w:keepLines w:val="0"/>
        <w:pageBreakBefore w:val="0"/>
        <w:widowControl w:val="1"/>
        <w:numPr>
          <w:ilvl w:val="0"/>
          <w:numId w:val="5"/>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Minutes of Handover for the Maintenance Period (Second Handover).</w:t>
      </w:r>
    </w:p>
    <w:p w:rsidR="00000000" w:rsidDel="00000000" w:rsidP="00000000" w:rsidRDefault="00000000" w:rsidRPr="00000000" w14:paraId="00000044">
      <w:pPr>
        <w:keepNext w:val="0"/>
        <w:keepLines w:val="0"/>
        <w:pageBreakBefore w:val="0"/>
        <w:widowControl w:val="1"/>
        <w:numPr>
          <w:ilvl w:val="0"/>
          <w:numId w:val="5"/>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Work Executor is required to compile documentation/photos of work progress.</w:t>
      </w:r>
    </w:p>
    <w:p w:rsidR="00000000" w:rsidDel="00000000" w:rsidP="00000000" w:rsidRDefault="00000000" w:rsidRPr="00000000" w14:paraId="00000045">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61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720" w:right="0" w:hanging="360"/>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PREPARATORY WORK</w:t>
      </w:r>
    </w:p>
    <w:p w:rsidR="00000000" w:rsidDel="00000000" w:rsidP="00000000" w:rsidRDefault="00000000" w:rsidRPr="00000000" w14:paraId="00000047">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Project Documentation and Reporting</w:t>
      </w:r>
    </w:p>
    <w:p w:rsidR="00000000" w:rsidDel="00000000" w:rsidP="00000000" w:rsidRDefault="00000000" w:rsidRPr="00000000" w14:paraId="00000048">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Construction Service Provider must take colored pictures/photos of the work progress each month, showing the project's progress in general and details or other activities deemed necessary as project documentation.</w:t>
      </w:r>
    </w:p>
    <w:p w:rsidR="00000000" w:rsidDel="00000000" w:rsidP="00000000" w:rsidRDefault="00000000" w:rsidRPr="00000000" w14:paraId="00000049">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Construction Service Provider must record project implementation activities in the form of monthly reports.</w:t>
      </w:r>
      <w:r w:rsidDel="00000000" w:rsidR="00000000" w:rsidRPr="00000000">
        <w:rPr>
          <w:rFonts w:ascii="Arial" w:cs="Arial" w:eastAsia="Arial" w:hAnsi="Arial"/>
          <w:color w:val="575b5f"/>
          <w:sz w:val="24"/>
          <w:szCs w:val="24"/>
          <w:highlight w:val="white"/>
          <w:vertAlign w:val="superscript"/>
          <w:rtl w:val="0"/>
        </w:rPr>
        <w:t xml:space="preserve"> </w:t>
      </w:r>
      <w:r w:rsidDel="00000000" w:rsidR="00000000" w:rsidRPr="00000000">
        <w:rPr>
          <w:rFonts w:ascii="Arial" w:cs="Arial" w:eastAsia="Arial" w:hAnsi="Arial"/>
          <w:color w:val="1b1c1d"/>
          <w:sz w:val="24"/>
          <w:szCs w:val="24"/>
          <w:rtl w:val="0"/>
        </w:rPr>
        <w:t xml:space="preserve">Reports are submitted to the PPK at the end of each month after being reviewed and approved.</w:t>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Mobilization – Demobilization (Demolition and Debris Removal)</w:t>
      </w:r>
    </w:p>
    <w:p w:rsidR="00000000" w:rsidDel="00000000" w:rsidP="00000000" w:rsidRDefault="00000000" w:rsidRPr="00000000" w14:paraId="0000004D">
      <w:pPr>
        <w:keepNext w:val="0"/>
        <w:keepLines w:val="0"/>
        <w:pageBreakBefore w:val="0"/>
        <w:widowControl w:val="1"/>
        <w:numPr>
          <w:ilvl w:val="0"/>
          <w:numId w:val="6"/>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Construction Service Provider must prepare and procure work equipment and auxiliary tools to be used during the work implementation.</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Construction Service Provider must maintain order and smooth transit during the transport of materials into the project site so as not to disrupt traffic circulation within the Embassy Building area.</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6"/>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When the work is completed, the Construction Service Provider is obliged to immediately remove the equipment and repair any damage caused by it.</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In addition to providing the necessary equipment as mentioned above, the Construction Service Provider must provide auxiliary equipment that can support the main work under any conditions, such as tents/tarps for working in the rain and scaffolding for working at heights.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Warehouse/Storage Area for Tools and Materials.</w:t>
      </w:r>
    </w:p>
    <w:p w:rsidR="00000000" w:rsidDel="00000000" w:rsidP="00000000" w:rsidRDefault="00000000" w:rsidRPr="00000000" w14:paraId="00000053">
      <w:pPr>
        <w:keepNext w:val="0"/>
        <w:keepLines w:val="0"/>
        <w:pageBreakBefore w:val="0"/>
        <w:widowControl w:val="1"/>
        <w:numPr>
          <w:ilvl w:val="0"/>
          <w:numId w:val="8"/>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Construction Service Provider shall prepare a warehouse/storage area for tools and materials for work purposes at a designated location.</w:t>
      </w:r>
    </w:p>
    <w:p w:rsidR="00000000" w:rsidDel="00000000" w:rsidP="00000000" w:rsidRDefault="00000000" w:rsidRPr="00000000" w14:paraId="00000054">
      <w:pPr>
        <w:keepNext w:val="0"/>
        <w:keepLines w:val="0"/>
        <w:pageBreakBefore w:val="0"/>
        <w:widowControl w:val="1"/>
        <w:numPr>
          <w:ilvl w:val="0"/>
          <w:numId w:val="8"/>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warehouse/storage area will be used entirely by the Construction Service Provider for the duration of the work.</w:t>
      </w:r>
    </w:p>
    <w:p w:rsidR="00000000" w:rsidDel="00000000" w:rsidP="00000000" w:rsidRDefault="00000000" w:rsidRPr="00000000" w14:paraId="00000055">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Site Clearing</w:t>
      </w:r>
    </w:p>
    <w:p w:rsidR="00000000" w:rsidDel="00000000" w:rsidP="00000000" w:rsidRDefault="00000000" w:rsidRPr="00000000" w14:paraId="00000057">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All kinds of waste and used demolition materials must be removed from the project site every week and are not permitted to be piled up inside or outside the project, even temporarily.</w:t>
      </w:r>
    </w:p>
    <w:p w:rsidR="00000000" w:rsidDel="00000000" w:rsidP="00000000" w:rsidRDefault="00000000" w:rsidRPr="00000000" w14:paraId="00000058">
      <w:pPr>
        <w:pBdr>
          <w:top w:color="000000" w:space="0" w:sz="0" w:val="none"/>
          <w:bottom w:color="000000" w:space="0" w:sz="0" w:val="none"/>
          <w:between w:color="000000" w:space="0" w:sz="0" w:val="none"/>
        </w:pBdr>
        <w:shd w:fill="ffffff" w:val="clear"/>
        <w:tabs>
          <w:tab w:val="left" w:leader="none" w:pos="900"/>
        </w:tabs>
        <w:spacing w:after="0" w:line="360" w:lineRule="auto"/>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Demolition Work</w:t>
      </w:r>
    </w:p>
    <w:p w:rsidR="00000000" w:rsidDel="00000000" w:rsidP="00000000" w:rsidRDefault="00000000" w:rsidRPr="00000000" w14:paraId="0000005A">
      <w:pPr>
        <w:keepNext w:val="0"/>
        <w:keepLines w:val="0"/>
        <w:pageBreakBefore w:val="0"/>
        <w:widowControl w:val="1"/>
        <w:numPr>
          <w:ilvl w:val="2"/>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Notification</w:t>
      </w:r>
    </w:p>
    <w:p w:rsidR="00000000" w:rsidDel="00000000" w:rsidP="00000000" w:rsidRDefault="00000000" w:rsidRPr="00000000" w14:paraId="0000005B">
      <w:pPr>
        <w:keepNext w:val="0"/>
        <w:keepLines w:val="0"/>
        <w:pageBreakBefore w:val="0"/>
        <w:widowControl w:val="1"/>
        <w:numPr>
          <w:ilvl w:val="0"/>
          <w:numId w:val="1"/>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Before starting the initial work, the Work Executor must notify the Commitment Making Official and the Mission's Technical Team for an initial inspection and permission to carry out the work.</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1"/>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Notification must be given at least 1x24 hours before starting the work.</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 Mission's Technical Team will conduct a joint inspection of the work location with the Work Executor before starting demolition.</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Worksite Inspection</w:t>
      </w:r>
    </w:p>
    <w:p w:rsidR="00000000" w:rsidDel="00000000" w:rsidP="00000000" w:rsidRDefault="00000000" w:rsidRPr="00000000" w14:paraId="00000060">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firstLine="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The implementation of the initial work (marking, demolition, land clearing, and moving of the User's belongings) must be prepared for any consequences that may arise during the work process. Approval to commence work is given after a joint inspection of the site conditions with the Mission's Technical Team and the Work Executor.</w:t>
      </w:r>
    </w:p>
    <w:p w:rsidR="00000000" w:rsidDel="00000000" w:rsidP="00000000" w:rsidRDefault="00000000" w:rsidRPr="00000000" w14:paraId="00000061">
      <w:pPr>
        <w:keepNext w:val="0"/>
        <w:keepLines w:val="0"/>
        <w:pageBreakBefore w:val="0"/>
        <w:widowControl w:val="1"/>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16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t xml:space="preserve">Securing/Disconnecting Installation Lines</w:t>
      </w:r>
    </w:p>
    <w:p w:rsidR="00000000" w:rsidDel="00000000" w:rsidP="00000000" w:rsidRDefault="00000000" w:rsidRPr="00000000" w14:paraId="00000063">
      <w:pPr>
        <w:keepNext w:val="0"/>
        <w:keepLines w:val="0"/>
        <w:pageBreakBefore w:val="0"/>
        <w:widowControl w:val="1"/>
        <w:numPr>
          <w:ilvl w:val="0"/>
          <w:numId w:val="2"/>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Water, electricity, gas, air conditioning (AC) lines, or other installations that may obstruct existing paths can be shut off with the permission of the Mission's Technical Team and other relevant parties.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288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Notification must be given at least 1x24 hours before starting the work.</w:t>
      </w: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720" w:right="0" w:hanging="360"/>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IMPLEMENTATION WORK</w:t>
      </w:r>
    </w:p>
    <w:p w:rsidR="00000000" w:rsidDel="00000000" w:rsidP="00000000" w:rsidRDefault="00000000" w:rsidRPr="00000000" w14:paraId="00000066">
      <w:pPr>
        <w:keepNext w:val="0"/>
        <w:keepLines w:val="0"/>
        <w:pageBreakBefore w:val="0"/>
        <w:widowControl w:val="1"/>
        <w:numPr>
          <w:ilvl w:val="1"/>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rPr>
      </w:pPr>
      <w:r w:rsidDel="00000000" w:rsidR="00000000" w:rsidRPr="00000000">
        <w:rPr>
          <w:rFonts w:ascii="Arial" w:cs="Arial" w:eastAsia="Arial" w:hAnsi="Arial"/>
          <w:color w:val="1b1c1d"/>
          <w:sz w:val="24"/>
          <w:szCs w:val="24"/>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4"/>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720" w:right="0" w:hanging="360"/>
        <w:jc w:val="both"/>
        <w:rPr>
          <w:rFonts w:ascii="Arial" w:cs="Arial" w:eastAsia="Arial" w:hAnsi="Arial"/>
          <w:b w:val="1"/>
          <w:color w:val="1b1c1d"/>
          <w:sz w:val="24"/>
          <w:szCs w:val="24"/>
        </w:rPr>
      </w:pPr>
      <w:r w:rsidDel="00000000" w:rsidR="00000000" w:rsidRPr="00000000">
        <w:rPr>
          <w:rFonts w:ascii="Arial" w:cs="Arial" w:eastAsia="Arial" w:hAnsi="Arial"/>
          <w:b w:val="1"/>
          <w:color w:val="1b1c1d"/>
          <w:sz w:val="24"/>
          <w:szCs w:val="24"/>
          <w:rtl w:val="0"/>
        </w:rPr>
        <w:t xml:space="preserve">CLOSING</w:t>
      </w:r>
    </w:p>
    <w:p w:rsidR="00000000" w:rsidDel="00000000" w:rsidP="00000000" w:rsidRDefault="00000000" w:rsidRPr="00000000" w14:paraId="00000068">
      <w:pPr>
        <w:keepNext w:val="0"/>
        <w:keepLines w:val="0"/>
        <w:pageBreakBefore w:val="0"/>
        <w:widowControl w:val="1"/>
        <w:numPr>
          <w:ilvl w:val="0"/>
          <w:numId w:val="7"/>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All regulations listed in the technical specification document and drawings are inseparable attachments and form a single entity; for this, the Executor is deemed to understand.</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7"/>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During the Maintenance Period, the Executor is obliged to maintain, secure, and repair any defects that arise so that, before the second handover, the work is declared to be in accordance with the technical specifications.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7"/>
        </w:numPr>
        <w:pBdr>
          <w:top w:color="000000" w:space="0" w:sz="0" w:val="none"/>
          <w:left w:space="0" w:sz="0" w:val="nil"/>
          <w:bottom w:color="000000" w:space="0" w:sz="0" w:val="none"/>
          <w:right w:space="0" w:sz="0" w:val="nil"/>
          <w:between w:color="000000" w:space="0" w:sz="0" w:val="none"/>
        </w:pBdr>
        <w:shd w:fill="ffffff" w:val="clear"/>
        <w:tabs>
          <w:tab w:val="left" w:leader="none" w:pos="900"/>
        </w:tabs>
        <w:spacing w:after="0" w:before="0" w:line="360" w:lineRule="auto"/>
        <w:ind w:left="1440" w:right="0" w:hanging="360"/>
        <w:jc w:val="both"/>
        <w:rPr>
          <w:rFonts w:ascii="Arial" w:cs="Arial" w:eastAsia="Arial" w:hAnsi="Arial"/>
          <w:color w:val="1b1c1d"/>
          <w:sz w:val="24"/>
          <w:szCs w:val="24"/>
          <w:u w:val="none"/>
        </w:rPr>
      </w:pPr>
      <w:r w:rsidDel="00000000" w:rsidR="00000000" w:rsidRPr="00000000">
        <w:rPr>
          <w:rFonts w:ascii="Arial" w:cs="Arial" w:eastAsia="Arial" w:hAnsi="Arial"/>
          <w:color w:val="1b1c1d"/>
          <w:sz w:val="24"/>
          <w:szCs w:val="24"/>
          <w:rtl w:val="0"/>
        </w:rPr>
        <w:t xml:space="preserve">These regulations serve as a guide for the implementation of the construction and as the basis of the Contract. The results will naturally depend on its implementation.</w:t>
      </w:r>
      <w:r w:rsidDel="00000000" w:rsidR="00000000" w:rsidRPr="00000000">
        <w:rPr>
          <w:rtl w:val="0"/>
        </w:rPr>
      </w:r>
    </w:p>
    <w:p w:rsidR="00000000" w:rsidDel="00000000" w:rsidP="00000000" w:rsidRDefault="00000000" w:rsidRPr="00000000" w14:paraId="0000006B">
      <w:pPr>
        <w:shd w:fill="ffffff" w:val="clear"/>
        <w:tabs>
          <w:tab w:val="left" w:leader="none" w:pos="900"/>
        </w:tabs>
        <w:spacing w:after="0" w:before="0" w:line="360" w:lineRule="auto"/>
        <w:ind w:left="0" w:firstLine="0"/>
        <w:jc w:val="both"/>
        <w:rPr>
          <w:rFonts w:ascii="Arial" w:cs="Arial" w:eastAsia="Arial" w:hAnsi="Arial"/>
          <w:color w:val="1b1c1d"/>
          <w:sz w:val="24"/>
          <w:szCs w:val="24"/>
        </w:rPr>
      </w:pPr>
      <w:r w:rsidDel="00000000" w:rsidR="00000000" w:rsidRPr="00000000">
        <w:rPr>
          <w:rtl w:val="0"/>
        </w:rPr>
      </w:r>
    </w:p>
    <w:p w:rsidR="00000000" w:rsidDel="00000000" w:rsidP="00000000" w:rsidRDefault="00000000" w:rsidRPr="00000000" w14:paraId="0000006C">
      <w:pPr>
        <w:widowControl w:val="0"/>
        <w:tabs>
          <w:tab w:val="left" w:leader="none" w:pos="5670"/>
          <w:tab w:val="left" w:leader="none" w:pos="6663"/>
          <w:tab w:val="left" w:leader="none" w:pos="7088"/>
        </w:tabs>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Made in</w:t>
        <w:tab/>
        <w:t xml:space="preserve"> </w:t>
        <w:tab/>
        <w:t xml:space="preserve">: Jakarta</w:t>
      </w:r>
    </w:p>
    <w:p w:rsidR="00000000" w:rsidDel="00000000" w:rsidP="00000000" w:rsidRDefault="00000000" w:rsidRPr="00000000" w14:paraId="0000006D">
      <w:pPr>
        <w:widowControl w:val="0"/>
        <w:tabs>
          <w:tab w:val="left" w:leader="none" w:pos="5670"/>
          <w:tab w:val="left" w:leader="none" w:pos="6663"/>
          <w:tab w:val="left" w:leader="none" w:pos="7088"/>
        </w:tabs>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ab/>
        <w:t xml:space="preserve">on the Date</w:t>
        <w:tab/>
        <w:t xml:space="preserve">:</w:t>
        <w:tab/>
        <w:t xml:space="preserve">August 2025</w:t>
      </w:r>
    </w:p>
    <w:p w:rsidR="00000000" w:rsidDel="00000000" w:rsidP="00000000" w:rsidRDefault="00000000" w:rsidRPr="00000000" w14:paraId="0000006E">
      <w:pPr>
        <w:widowControl w:val="0"/>
        <w:spacing w:after="0" w:line="360" w:lineRule="auto"/>
        <w:rPr>
          <w:rFonts w:ascii="Arial" w:cs="Arial" w:eastAsia="Arial" w:hAnsi="Arial"/>
          <w:sz w:val="24"/>
          <w:szCs w:val="24"/>
        </w:rPr>
      </w:pPr>
      <w:r w:rsidDel="00000000" w:rsidR="00000000" w:rsidRPr="00000000">
        <w:rPr>
          <w:rtl w:val="0"/>
        </w:rPr>
      </w:r>
    </w:p>
    <w:tbl>
      <w:tblPr>
        <w:tblStyle w:val="Table2"/>
        <w:tblW w:w="9780.0" w:type="dxa"/>
        <w:jc w:val="left"/>
        <w:tblLayout w:type="fixed"/>
        <w:tblLook w:val="0400"/>
      </w:tblPr>
      <w:tblGrid>
        <w:gridCol w:w="3240"/>
        <w:gridCol w:w="1590"/>
        <w:gridCol w:w="4950"/>
        <w:tblGridChange w:id="0">
          <w:tblGrid>
            <w:gridCol w:w="3240"/>
            <w:gridCol w:w="1590"/>
            <w:gridCol w:w="4950"/>
          </w:tblGrid>
        </w:tblGridChange>
      </w:tblGrid>
      <w:tr>
        <w:trPr>
          <w:cantSplit w:val="0"/>
          <w:tblHeader w:val="0"/>
        </w:trPr>
        <w:tc>
          <w:tcPr>
            <w:gridSpan w:val="2"/>
            <w:shd w:fill="auto" w:val="clear"/>
          </w:tcPr>
          <w:p w:rsidR="00000000" w:rsidDel="00000000" w:rsidP="00000000" w:rsidRDefault="00000000" w:rsidRPr="00000000" w14:paraId="0000006F">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Acknowledged and Approved by</w:t>
            </w:r>
          </w:p>
        </w:tc>
        <w:tc>
          <w:tcPr>
            <w:shd w:fill="auto" w:val="clear"/>
          </w:tcPr>
          <w:p w:rsidR="00000000" w:rsidDel="00000000" w:rsidP="00000000" w:rsidRDefault="00000000" w:rsidRPr="00000000" w14:paraId="00000071">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on behalf of The Authorized Budget User,</w:t>
            </w:r>
          </w:p>
        </w:tc>
      </w:tr>
      <w:tr>
        <w:trPr>
          <w:cantSplit w:val="0"/>
          <w:tblHeader w:val="0"/>
        </w:trPr>
        <w:tc>
          <w:tcPr>
            <w:gridSpan w:val="2"/>
            <w:shd w:fill="auto" w:val="clear"/>
          </w:tcPr>
          <w:p w:rsidR="00000000" w:rsidDel="00000000" w:rsidP="00000000" w:rsidRDefault="00000000" w:rsidRPr="00000000" w14:paraId="00000072">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The Head of Mission</w:t>
            </w:r>
          </w:p>
          <w:p w:rsidR="00000000" w:rsidDel="00000000" w:rsidP="00000000" w:rsidRDefault="00000000" w:rsidRPr="00000000" w14:paraId="00000073">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Embassy of the Republic of Indonesia</w:t>
            </w:r>
          </w:p>
          <w:p w:rsidR="00000000" w:rsidDel="00000000" w:rsidP="00000000" w:rsidRDefault="00000000" w:rsidRPr="00000000" w14:paraId="00000074">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in XXXX</w:t>
            </w:r>
          </w:p>
        </w:tc>
        <w:tc>
          <w:tcPr>
            <w:shd w:fill="auto" w:val="clear"/>
          </w:tcPr>
          <w:p w:rsidR="00000000" w:rsidDel="00000000" w:rsidP="00000000" w:rsidRDefault="00000000" w:rsidRPr="00000000" w14:paraId="00000076">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Commitment Making Official</w:t>
            </w:r>
          </w:p>
        </w:tc>
      </w:tr>
      <w:tr>
        <w:trPr>
          <w:cantSplit w:val="0"/>
          <w:tblHeader w:val="0"/>
        </w:trPr>
        <w:tc>
          <w:tcPr>
            <w:gridSpan w:val="2"/>
            <w:shd w:fill="auto" w:val="clear"/>
          </w:tcPr>
          <w:p w:rsidR="00000000" w:rsidDel="00000000" w:rsidP="00000000" w:rsidRDefault="00000000" w:rsidRPr="00000000" w14:paraId="00000077">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9">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A">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C">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7D">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7F">
            <w:pPr>
              <w:tabs>
                <w:tab w:val="left" w:leader="none" w:pos="6096"/>
                <w:tab w:val="left" w:leader="none" w:pos="7380"/>
                <w:tab w:val="left" w:leader="none" w:pos="7560"/>
              </w:tabs>
              <w:spacing w:after="0" w:line="360" w:lineRule="auto"/>
              <w:jc w:val="both"/>
              <w:rPr>
                <w:rFonts w:ascii="Arial" w:cs="Arial" w:eastAsia="Arial" w:hAnsi="Arial"/>
                <w:sz w:val="24"/>
                <w:szCs w:val="24"/>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080">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w:t>
            </w:r>
          </w:p>
        </w:tc>
        <w:tc>
          <w:tcPr>
            <w:shd w:fill="auto" w:val="clear"/>
          </w:tcPr>
          <w:p w:rsidR="00000000" w:rsidDel="00000000" w:rsidP="00000000" w:rsidRDefault="00000000" w:rsidRPr="00000000" w14:paraId="00000082">
            <w:pPr>
              <w:tabs>
                <w:tab w:val="left" w:leader="none" w:pos="6096"/>
                <w:tab w:val="left" w:leader="none" w:pos="7380"/>
                <w:tab w:val="left" w:leader="none" w:pos="7560"/>
              </w:tabs>
              <w:spacing w:after="0" w:line="36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XXXXX</w:t>
            </w:r>
          </w:p>
        </w:tc>
      </w:tr>
    </w:tbl>
    <w:p w:rsidR="00000000" w:rsidDel="00000000" w:rsidP="00000000" w:rsidRDefault="00000000" w:rsidRPr="00000000" w14:paraId="00000083">
      <w:pPr>
        <w:widowControl w:val="0"/>
        <w:tabs>
          <w:tab w:val="left" w:leader="none" w:pos="6096"/>
          <w:tab w:val="left" w:leader="none" w:pos="7380"/>
          <w:tab w:val="left" w:leader="none" w:pos="7560"/>
        </w:tabs>
        <w:spacing w:after="0" w:line="360" w:lineRule="auto"/>
        <w:jc w:val="center"/>
        <w:rPr>
          <w:rFonts w:ascii="Arial" w:cs="Arial" w:eastAsia="Arial" w:hAnsi="Arial"/>
          <w:color w:val="1b1c1d"/>
          <w:sz w:val="24"/>
          <w:szCs w:val="24"/>
        </w:rPr>
      </w:pPr>
      <w:r w:rsidDel="00000000" w:rsidR="00000000" w:rsidRPr="00000000">
        <w:rPr>
          <w:rtl w:val="0"/>
        </w:rPr>
      </w:r>
    </w:p>
    <w:sectPr>
      <w:headerReference r:id="rId7" w:type="default"/>
      <w:footerReference r:id="rId8" w:type="default"/>
      <w:pgSz w:h="16838" w:w="11906" w:orient="portrait"/>
      <w:pgMar w:bottom="1411.2" w:top="1411.2" w:left="1411.2" w:right="1411.2" w:header="709"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rPr>
    </w:pPr>
    <w:r w:rsidDel="00000000" w:rsidR="00000000" w:rsidRPr="00000000">
      <w:rPr>
        <w:rtl w:val="0"/>
      </w:rPr>
    </w:r>
  </w:p>
  <w:tbl>
    <w:tblPr>
      <w:tblStyle w:val="Table3"/>
      <w:tblW w:w="10193.0" w:type="dxa"/>
      <w:jc w:val="right"/>
      <w:tblLayout w:type="fixed"/>
      <w:tblLook w:val="0400"/>
    </w:tblPr>
    <w:tblGrid>
      <w:gridCol w:w="9683"/>
      <w:gridCol w:w="510"/>
      <w:tblGridChange w:id="0">
        <w:tblGrid>
          <w:gridCol w:w="9683"/>
          <w:gridCol w:w="510"/>
        </w:tblGrid>
      </w:tblGridChange>
    </w:tblGrid>
    <w:tr>
      <w:trPr>
        <w:cantSplit w:val="0"/>
        <w:tblHeader w:val="0"/>
      </w:trPr>
      <w:tc>
        <w:tcPr>
          <w:tcBorders>
            <w:top w:color="000000" w:space="0" w:sz="4" w:val="single"/>
          </w:tcBorders>
          <w:vAlign w:val="cente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Technical Specifications</w:t>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sz w:val="16"/>
              <w:szCs w:val="16"/>
              <w:rtl w:val="0"/>
            </w:rPr>
            <w:t xml:space="preserve">Procurement of Renovation to the Chancery Building and the Ambassador's Residence of the Embassy of the Republic of Indonesia in Pyongyang in Fiscal Year 2025</w:t>
          </w:r>
          <w:r w:rsidDel="00000000" w:rsidR="00000000" w:rsidRPr="00000000">
            <w:rPr>
              <w:rtl w:val="0"/>
            </w:rPr>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16"/>
              <w:szCs w:val="16"/>
            </w:rPr>
          </w:pPr>
          <w:r w:rsidDel="00000000" w:rsidR="00000000" w:rsidRPr="00000000">
            <w:rPr>
              <w:rtl w:val="0"/>
            </w:rPr>
          </w:r>
        </w:p>
      </w:tc>
      <w:tc>
        <w:tcPr>
          <w:shd w:fill="ed7d31" w:val="clear"/>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2">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3">
    <w:lvl w:ilvl="0">
      <w:start w:val="1"/>
      <w:numFmt w:val="lowerLetter"/>
      <w:lvlText w:val="%1."/>
      <w:lvlJc w:val="left"/>
      <w:pPr>
        <w:ind w:left="261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lvl w:ilvl="0">
      <w:start w:val="1"/>
      <w:numFmt w:val="lowerLetter"/>
      <w:lvlText w:val="%1."/>
      <w:lvlJc w:val="left"/>
      <w:pPr>
        <w:ind w:left="261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7">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9">
    <w:lvl w:ilvl="0">
      <w:start w:val="1"/>
      <w:numFmt w:val="bullet"/>
      <w:lvlText w:val="●"/>
      <w:lvlJc w:val="left"/>
      <w:pPr>
        <w:ind w:left="306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240" w:lineRule="auto"/>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qFormat w:val="1"/>
    <w:rsid w:val="009D7CBC"/>
    <w:pPr>
      <w:keepNext w:val="1"/>
      <w:tabs>
        <w:tab w:val="left" w:pos="1170"/>
        <w:tab w:val="left" w:pos="1980"/>
        <w:tab w:val="left" w:pos="5940"/>
        <w:tab w:val="left" w:pos="6840"/>
      </w:tabs>
      <w:spacing w:after="0" w:line="240" w:lineRule="auto"/>
      <w:jc w:val="center"/>
      <w:outlineLvl w:val="6"/>
    </w:pPr>
    <w:rPr>
      <w:rFonts w:ascii="Times New Roman" w:eastAsia="Times New Roman" w:hAnsi="Times New Roman"/>
      <w:b w:val="1"/>
      <w:sz w:val="20"/>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A3783A"/>
    <w:pPr>
      <w:widowControl w:val="0"/>
      <w:tabs>
        <w:tab w:val="center" w:pos="4320"/>
        <w:tab w:val="right" w:pos="8640"/>
      </w:tabs>
      <w:kinsoku w:val="0"/>
      <w:spacing w:after="0" w:line="240" w:lineRule="auto"/>
    </w:pPr>
    <w:rPr>
      <w:rFonts w:ascii="Times New Roman" w:eastAsia="SimSun" w:hAnsi="Times New Roman"/>
      <w:sz w:val="24"/>
      <w:szCs w:val="20"/>
      <w:lang w:eastAsia="x-none" w:val="x-none"/>
    </w:rPr>
  </w:style>
  <w:style w:type="character" w:styleId="FooterChar" w:customStyle="1">
    <w:name w:val="Footer Char"/>
    <w:link w:val="Footer"/>
    <w:uiPriority w:val="99"/>
    <w:rsid w:val="00A3783A"/>
    <w:rPr>
      <w:rFonts w:ascii="Times New Roman" w:eastAsia="SimSun" w:hAnsi="Times New Roman"/>
      <w:sz w:val="24"/>
    </w:rPr>
  </w:style>
  <w:style w:type="paragraph" w:styleId="BodyTextIndent">
    <w:name w:val="Body Text Indent"/>
    <w:basedOn w:val="Normal"/>
    <w:link w:val="BodyTextIndentChar"/>
    <w:rsid w:val="00501379"/>
    <w:pPr>
      <w:spacing w:after="0" w:line="240" w:lineRule="auto"/>
      <w:ind w:left="1080"/>
      <w:jc w:val="both"/>
    </w:pPr>
    <w:rPr>
      <w:rFonts w:ascii="Times New Roman" w:eastAsia="Times New Roman" w:hAnsi="Times New Roman"/>
      <w:szCs w:val="20"/>
      <w:lang w:val="en-US"/>
    </w:rPr>
  </w:style>
  <w:style w:type="character" w:styleId="BodyTextIndentChar" w:customStyle="1">
    <w:name w:val="Body Text Indent Char"/>
    <w:link w:val="BodyTextIndent"/>
    <w:rsid w:val="00501379"/>
    <w:rPr>
      <w:rFonts w:ascii="Times New Roman" w:eastAsia="Times New Roman" w:hAnsi="Times New Roman"/>
      <w:sz w:val="22"/>
      <w:lang w:eastAsia="en-US" w:val="en-US"/>
    </w:rPr>
  </w:style>
  <w:style w:type="character" w:styleId="Heading7Char" w:customStyle="1">
    <w:name w:val="Heading 7 Char"/>
    <w:link w:val="Heading7"/>
    <w:rsid w:val="009D7CBC"/>
    <w:rPr>
      <w:rFonts w:ascii="Times New Roman" w:eastAsia="Times New Roman" w:hAnsi="Times New Roman"/>
      <w:b w:val="1"/>
      <w:lang w:eastAsia="en-US" w:val="en-U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Shading - Accent 31,Normal ind"/>
    <w:basedOn w:val="Normal"/>
    <w:link w:val="ListParagraphChar"/>
    <w:qFormat w:val="1"/>
    <w:rsid w:val="009D7CBC"/>
    <w:pPr>
      <w:widowControl w:val="0"/>
      <w:kinsoku w:val="0"/>
      <w:spacing w:after="0" w:line="240" w:lineRule="auto"/>
      <w:ind w:left="720"/>
      <w:contextualSpacing w:val="1"/>
    </w:pPr>
    <w:rPr>
      <w:rFonts w:ascii="Times New Roman" w:eastAsia="SimSun" w:hAnsi="Times New Roman"/>
      <w:sz w:val="24"/>
      <w:szCs w:val="20"/>
      <w:lang w:eastAsia="id-ID"/>
    </w:rPr>
  </w:style>
  <w:style w:type="paragraph" w:styleId="Default" w:customStyle="1">
    <w:name w:val="Default"/>
    <w:rsid w:val="000A09C2"/>
    <w:pPr>
      <w:widowControl w:val="0"/>
      <w:autoSpaceDE w:val="0"/>
      <w:autoSpaceDN w:val="0"/>
      <w:adjustRightInd w:val="0"/>
    </w:pPr>
    <w:rPr>
      <w:rFonts w:ascii="Cambria,Bold" w:cs="Cambria,Bold" w:eastAsia="Times New Roman" w:hAnsi="Cambria,Bold"/>
      <w:color w:val="000000"/>
      <w:sz w:val="24"/>
      <w:szCs w:val="24"/>
    </w:rPr>
  </w:style>
  <w:style w:type="paragraph" w:styleId="PlainText">
    <w:name w:val="Plain Text"/>
    <w:basedOn w:val="Normal"/>
    <w:link w:val="PlainTextChar"/>
    <w:rsid w:val="000942D8"/>
    <w:pPr>
      <w:spacing w:after="0" w:line="240" w:lineRule="auto"/>
    </w:pPr>
    <w:rPr>
      <w:rFonts w:ascii="Courier New" w:eastAsia="Times New Roman" w:hAnsi="Courier New"/>
      <w:sz w:val="20"/>
      <w:szCs w:val="20"/>
      <w:lang w:eastAsia="x-none" w:val="x-none"/>
    </w:rPr>
  </w:style>
  <w:style w:type="character" w:styleId="PlainTextChar" w:customStyle="1">
    <w:name w:val="Plain Text Char"/>
    <w:link w:val="PlainText"/>
    <w:rsid w:val="000942D8"/>
    <w:rPr>
      <w:rFonts w:ascii="Courier New" w:eastAsia="Times New Roman" w:hAnsi="Courier New"/>
    </w:rPr>
  </w:style>
  <w:style w:type="paragraph" w:styleId="BodyTextIndent2">
    <w:name w:val="Body Text Indent 2"/>
    <w:basedOn w:val="Normal"/>
    <w:link w:val="BodyTextIndent2Char"/>
    <w:uiPriority w:val="99"/>
    <w:unhideWhenUsed w:val="1"/>
    <w:rsid w:val="00DA73FA"/>
    <w:pPr>
      <w:spacing w:after="120" w:line="480" w:lineRule="auto"/>
      <w:ind w:left="283"/>
    </w:pPr>
    <w:rPr>
      <w:lang w:val="x-none"/>
    </w:rPr>
  </w:style>
  <w:style w:type="character" w:styleId="BodyTextIndent2Char" w:customStyle="1">
    <w:name w:val="Body Text Indent 2 Char"/>
    <w:link w:val="BodyTextIndent2"/>
    <w:uiPriority w:val="99"/>
    <w:rsid w:val="00DA73FA"/>
    <w:rPr>
      <w:sz w:val="22"/>
      <w:szCs w:val="22"/>
      <w:lang w:eastAsia="en-US"/>
    </w:rPr>
  </w:style>
  <w:style w:type="paragraph" w:styleId="BodyTextIndent3">
    <w:name w:val="Body Text Indent 3"/>
    <w:basedOn w:val="Normal"/>
    <w:link w:val="BodyTextIndent3Char"/>
    <w:uiPriority w:val="99"/>
    <w:unhideWhenUsed w:val="1"/>
    <w:rsid w:val="00DA73FA"/>
    <w:pPr>
      <w:spacing w:after="120"/>
      <w:ind w:left="283"/>
    </w:pPr>
    <w:rPr>
      <w:sz w:val="16"/>
      <w:szCs w:val="16"/>
      <w:lang w:val="x-none"/>
    </w:rPr>
  </w:style>
  <w:style w:type="character" w:styleId="BodyTextIndent3Char" w:customStyle="1">
    <w:name w:val="Body Text Indent 3 Char"/>
    <w:link w:val="BodyTextIndent3"/>
    <w:uiPriority w:val="99"/>
    <w:rsid w:val="00DA73FA"/>
    <w:rPr>
      <w:sz w:val="16"/>
      <w:szCs w:val="16"/>
      <w:lang w:eastAsia="en-US"/>
    </w:rPr>
  </w:style>
  <w:style w:type="paragraph" w:styleId="Header">
    <w:name w:val="header"/>
    <w:basedOn w:val="Normal"/>
    <w:link w:val="HeaderChar"/>
    <w:uiPriority w:val="99"/>
    <w:unhideWhenUsed w:val="1"/>
    <w:rsid w:val="00F835F0"/>
    <w:pPr>
      <w:tabs>
        <w:tab w:val="center" w:pos="4680"/>
        <w:tab w:val="right" w:pos="9360"/>
      </w:tabs>
    </w:pPr>
    <w:rPr>
      <w:lang w:eastAsia="x-none"/>
    </w:rPr>
  </w:style>
  <w:style w:type="character" w:styleId="HeaderChar" w:customStyle="1">
    <w:name w:val="Header Char"/>
    <w:link w:val="Header"/>
    <w:uiPriority w:val="99"/>
    <w:rsid w:val="00F835F0"/>
    <w:rPr>
      <w:sz w:val="22"/>
      <w:szCs w:val="22"/>
      <w:lang w:val="id-ID"/>
    </w:rPr>
  </w:style>
  <w:style w:type="paragraph" w:styleId="CM132" w:customStyle="1">
    <w:name w:val="CM132"/>
    <w:basedOn w:val="Default"/>
    <w:next w:val="Default"/>
    <w:rsid w:val="009A594C"/>
    <w:pPr>
      <w:spacing w:after="278"/>
    </w:pPr>
    <w:rPr>
      <w:color w:val="auto"/>
    </w:rPr>
  </w:style>
  <w:style w:type="character" w:styleId="CommentReference">
    <w:name w:val="annotation reference"/>
    <w:uiPriority w:val="99"/>
    <w:unhideWhenUsed w:val="1"/>
    <w:rsid w:val="00427555"/>
    <w:rPr>
      <w:sz w:val="16"/>
      <w:szCs w:val="16"/>
    </w:rPr>
  </w:style>
  <w:style w:type="paragraph" w:styleId="CommentText">
    <w:name w:val="annotation text"/>
    <w:basedOn w:val="Normal"/>
    <w:link w:val="CommentTextChar"/>
    <w:uiPriority w:val="99"/>
    <w:unhideWhenUsed w:val="1"/>
    <w:rsid w:val="00427555"/>
    <w:rPr>
      <w:sz w:val="20"/>
      <w:szCs w:val="20"/>
      <w:lang w:val="x-none"/>
    </w:rPr>
  </w:style>
  <w:style w:type="character" w:styleId="CommentTextChar" w:customStyle="1">
    <w:name w:val="Comment Text Char"/>
    <w:link w:val="CommentText"/>
    <w:uiPriority w:val="99"/>
    <w:rsid w:val="00427555"/>
    <w:rPr>
      <w:lang w:eastAsia="en-US"/>
    </w:rPr>
  </w:style>
  <w:style w:type="paragraph" w:styleId="CommentSubject">
    <w:name w:val="annotation subject"/>
    <w:basedOn w:val="CommentText"/>
    <w:next w:val="CommentText"/>
    <w:link w:val="CommentSubjectChar"/>
    <w:uiPriority w:val="99"/>
    <w:semiHidden w:val="1"/>
    <w:unhideWhenUsed w:val="1"/>
    <w:rsid w:val="00427555"/>
    <w:rPr>
      <w:b w:val="1"/>
      <w:bCs w:val="1"/>
    </w:rPr>
  </w:style>
  <w:style w:type="character" w:styleId="CommentSubjectChar" w:customStyle="1">
    <w:name w:val="Comment Subject Char"/>
    <w:link w:val="CommentSubject"/>
    <w:uiPriority w:val="99"/>
    <w:semiHidden w:val="1"/>
    <w:rsid w:val="00427555"/>
    <w:rPr>
      <w:b w:val="1"/>
      <w:bCs w:val="1"/>
      <w:lang w:eastAsia="en-US"/>
    </w:rPr>
  </w:style>
  <w:style w:type="paragraph" w:styleId="BalloonText">
    <w:name w:val="Balloon Text"/>
    <w:basedOn w:val="Normal"/>
    <w:link w:val="BalloonTextChar"/>
    <w:uiPriority w:val="99"/>
    <w:semiHidden w:val="1"/>
    <w:unhideWhenUsed w:val="1"/>
    <w:rsid w:val="00427555"/>
    <w:pPr>
      <w:spacing w:after="0" w:line="240" w:lineRule="auto"/>
    </w:pPr>
    <w:rPr>
      <w:rFonts w:ascii="Tahoma" w:hAnsi="Tahoma"/>
      <w:sz w:val="16"/>
      <w:szCs w:val="16"/>
      <w:lang w:val="x-none"/>
    </w:rPr>
  </w:style>
  <w:style w:type="character" w:styleId="BalloonTextChar" w:customStyle="1">
    <w:name w:val="Balloon Text Char"/>
    <w:link w:val="BalloonText"/>
    <w:uiPriority w:val="99"/>
    <w:semiHidden w:val="1"/>
    <w:rsid w:val="00427555"/>
    <w:rPr>
      <w:rFonts w:ascii="Tahoma" w:cs="Tahoma" w:hAnsi="Tahoma"/>
      <w:sz w:val="16"/>
      <w:szCs w:val="16"/>
      <w:lang w:eastAsia="en-US"/>
    </w:rPr>
  </w:style>
  <w:style w:type="paragraph" w:styleId="NoSpacing">
    <w:name w:val="No Spacing"/>
    <w:uiPriority w:val="1"/>
    <w:qFormat w:val="1"/>
    <w:rsid w:val="006B726D"/>
    <w:rPr>
      <w:sz w:val="22"/>
      <w:szCs w:val="22"/>
      <w:lang w:val="id-ID"/>
    </w:rPr>
  </w:style>
  <w:style w:type="paragraph" w:styleId="Revision">
    <w:name w:val="Revision"/>
    <w:hidden w:val="1"/>
    <w:uiPriority w:val="99"/>
    <w:semiHidden w:val="1"/>
    <w:rsid w:val="002A262E"/>
    <w:rPr>
      <w:sz w:val="22"/>
      <w:szCs w:val="22"/>
      <w:lang w:val="id-ID"/>
    </w:rPr>
  </w:style>
  <w:style w:type="character" w:styleId="Heading1Char" w:customStyle="1">
    <w:name w:val="Heading 1 Char"/>
    <w:link w:val="Heading1"/>
    <w:uiPriority w:val="9"/>
    <w:rsid w:val="00696F21"/>
    <w:rPr>
      <w:rFonts w:ascii="Cambria" w:cs="Times New Roman" w:eastAsia="Times New Roman" w:hAnsi="Cambria"/>
      <w:b w:val="1"/>
      <w:bCs w:val="1"/>
      <w:kern w:val="32"/>
      <w:sz w:val="32"/>
      <w:szCs w:val="32"/>
      <w:lang w:eastAsia="en-US"/>
    </w:rPr>
  </w:style>
  <w:style w:type="character" w:styleId="SubtitleChar" w:customStyle="1">
    <w:name w:val="Subtitle Char"/>
    <w:link w:val="Subtitle"/>
    <w:rsid w:val="00102A2D"/>
    <w:rPr>
      <w:rFonts w:ascii="Times New Roman" w:eastAsia="Times New Roman" w:hAnsi="Times New Roman"/>
      <w:b w:val="1"/>
      <w:sz w:val="24"/>
      <w:lang w:eastAsia="en-US" w:val="en-US"/>
    </w:rPr>
  </w:style>
  <w:style w:type="paragraph" w:styleId="BodyText">
    <w:name w:val="Body Text"/>
    <w:basedOn w:val="Normal"/>
    <w:link w:val="BodyTextChar"/>
    <w:uiPriority w:val="99"/>
    <w:unhideWhenUsed w:val="1"/>
    <w:rsid w:val="00102A2D"/>
    <w:pPr>
      <w:spacing w:after="120"/>
    </w:pPr>
  </w:style>
  <w:style w:type="character" w:styleId="BodyTextChar" w:customStyle="1">
    <w:name w:val="Body Text Char"/>
    <w:link w:val="BodyText"/>
    <w:uiPriority w:val="99"/>
    <w:rsid w:val="00102A2D"/>
    <w:rPr>
      <w:sz w:val="22"/>
      <w:szCs w:val="22"/>
      <w:lang w:eastAsia="en-US"/>
    </w:rPr>
  </w:style>
  <w:style w:type="paragraph" w:styleId="NormalWeb">
    <w:name w:val="Normal (Web)"/>
    <w:basedOn w:val="Normal"/>
    <w:uiPriority w:val="99"/>
    <w:unhideWhenUsed w:val="1"/>
    <w:rsid w:val="00102A2D"/>
    <w:pPr>
      <w:spacing w:after="100" w:afterAutospacing="1" w:before="100" w:beforeAutospacing="1" w:line="240" w:lineRule="auto"/>
    </w:pPr>
    <w:rPr>
      <w:rFonts w:ascii="Times New Roman" w:eastAsia="Times New Roman" w:hAnsi="Times New Roman"/>
      <w:sz w:val="24"/>
      <w:szCs w:val="24"/>
      <w:lang w:val="en-US"/>
    </w:rPr>
  </w:style>
  <w:style w:type="paragraph" w:styleId="a" w:customStyle="1">
    <w:name w:val="a"/>
    <w:basedOn w:val="Normal"/>
    <w:rsid w:val="00B37110"/>
    <w:pPr>
      <w:tabs>
        <w:tab w:val="left" w:pos="426"/>
      </w:tabs>
      <w:overflowPunct w:val="0"/>
      <w:autoSpaceDE w:val="0"/>
      <w:autoSpaceDN w:val="0"/>
      <w:adjustRightInd w:val="0"/>
      <w:spacing w:after="0" w:before="240" w:line="240" w:lineRule="auto"/>
      <w:ind w:left="425" w:hanging="425"/>
      <w:jc w:val="both"/>
      <w:textAlignment w:val="baseline"/>
    </w:pPr>
    <w:rPr>
      <w:rFonts w:ascii="Arial Narrow" w:cs="Arial" w:eastAsia="Times New Roman" w:hAnsi="Arial Narrow"/>
      <w:b w:val="1"/>
      <w:color w:val="000000"/>
      <w:sz w:val="20"/>
      <w:szCs w:val="20"/>
      <w:lang w:val="en-US"/>
    </w:rPr>
  </w:style>
  <w:style w:type="paragraph" w:styleId="List">
    <w:name w:val="List"/>
    <w:basedOn w:val="Normal"/>
    <w:rsid w:val="00B37110"/>
    <w:pPr>
      <w:spacing w:after="0" w:line="240" w:lineRule="auto"/>
      <w:ind w:left="360" w:hanging="360"/>
    </w:pPr>
    <w:rPr>
      <w:rFonts w:ascii="Times New Roman" w:eastAsia="Times New Roman" w:hAnsi="Times New Roman"/>
      <w:sz w:val="24"/>
      <w:szCs w:val="24"/>
      <w:lang w:val="en-GB"/>
    </w:rPr>
  </w:style>
  <w:style w:type="paragraph" w:styleId="List2">
    <w:name w:val="List 2"/>
    <w:basedOn w:val="Normal"/>
    <w:rsid w:val="00B37110"/>
    <w:pPr>
      <w:spacing w:after="0" w:line="240" w:lineRule="auto"/>
      <w:ind w:left="720" w:hanging="360"/>
    </w:pPr>
    <w:rPr>
      <w:rFonts w:ascii="Times New Roman" w:eastAsia="Times New Roman" w:hAnsi="Times New Roman"/>
      <w:sz w:val="24"/>
      <w:szCs w:val="24"/>
      <w:lang w:val="en-GB"/>
    </w:rPr>
  </w:style>
  <w:style w:type="paragraph" w:styleId="ListBullet3">
    <w:name w:val="List Bullet 3"/>
    <w:basedOn w:val="Normal"/>
    <w:autoRedefine w:val="1"/>
    <w:rsid w:val="00A01B05"/>
    <w:pPr>
      <w:numPr>
        <w:ilvl w:val="1"/>
        <w:numId w:val="14"/>
      </w:numPr>
      <w:spacing w:after="0" w:line="360" w:lineRule="auto"/>
      <w:jc w:val="both"/>
    </w:pPr>
    <w:rPr>
      <w:rFonts w:ascii="Arial" w:cs="Arial" w:eastAsia="Times New Roman" w:hAnsi="Arial"/>
      <w:b w:val="1"/>
      <w:color w:val="4f81bd"/>
    </w:rPr>
  </w:style>
  <w:style w:type="paragraph" w:styleId="ListContinue2">
    <w:name w:val="List Continue 2"/>
    <w:basedOn w:val="Normal"/>
    <w:rsid w:val="00B37110"/>
    <w:pPr>
      <w:spacing w:after="120" w:line="240" w:lineRule="auto"/>
      <w:ind w:left="720"/>
    </w:pPr>
    <w:rPr>
      <w:rFonts w:ascii="Times New Roman" w:eastAsia="Times New Roman" w:hAnsi="Times New Roman"/>
      <w:sz w:val="24"/>
      <w:szCs w:val="24"/>
      <w:lang w:val="en-GB"/>
    </w:rPr>
  </w:style>
  <w:style w:type="paragraph" w:styleId="BodyText3">
    <w:name w:val="Body Text 3"/>
    <w:basedOn w:val="Normal"/>
    <w:link w:val="BodyText3Char"/>
    <w:uiPriority w:val="99"/>
    <w:semiHidden w:val="1"/>
    <w:unhideWhenUsed w:val="1"/>
    <w:rsid w:val="00B902B6"/>
    <w:pPr>
      <w:spacing w:after="120"/>
    </w:pPr>
    <w:rPr>
      <w:sz w:val="16"/>
      <w:szCs w:val="16"/>
    </w:rPr>
  </w:style>
  <w:style w:type="character" w:styleId="BodyText3Char" w:customStyle="1">
    <w:name w:val="Body Text 3 Char"/>
    <w:link w:val="BodyText3"/>
    <w:uiPriority w:val="99"/>
    <w:semiHidden w:val="1"/>
    <w:rsid w:val="00B902B6"/>
    <w:rPr>
      <w:sz w:val="16"/>
      <w:szCs w:val="16"/>
      <w:lang w:eastAsia="en-US"/>
    </w:rPr>
  </w:style>
  <w:style w:type="paragraph" w:styleId="CM47" w:customStyle="1">
    <w:name w:val="CM47"/>
    <w:basedOn w:val="Default"/>
    <w:next w:val="Default"/>
    <w:rsid w:val="00B902B6"/>
    <w:pPr>
      <w:spacing w:after="258"/>
    </w:pPr>
    <w:rPr>
      <w:rFonts w:ascii="Helvetica" w:cs="Helvetica" w:hAnsi="Helvetica"/>
      <w:color w:val="auto"/>
    </w:rPr>
  </w:style>
  <w:style w:type="paragraph" w:styleId="CM48" w:customStyle="1">
    <w:name w:val="CM48"/>
    <w:basedOn w:val="Default"/>
    <w:next w:val="Default"/>
    <w:rsid w:val="00B902B6"/>
    <w:pPr>
      <w:spacing w:after="513"/>
    </w:pPr>
    <w:rPr>
      <w:rFonts w:ascii="Helvetica" w:cs="Helvetica" w:hAnsi="Helvetica"/>
      <w:color w:val="auto"/>
    </w:rPr>
  </w:style>
  <w:style w:type="paragraph" w:styleId="CM26" w:customStyle="1">
    <w:name w:val="CM26"/>
    <w:basedOn w:val="Default"/>
    <w:next w:val="Default"/>
    <w:rsid w:val="00B902B6"/>
    <w:pPr>
      <w:spacing w:line="258" w:lineRule="atLeast"/>
    </w:pPr>
    <w:rPr>
      <w:rFonts w:ascii="Helvetica" w:cs="Helvetica" w:hAnsi="Helvetica"/>
      <w:color w:val="auto"/>
    </w:rPr>
  </w:style>
  <w:style w:type="character" w:styleId="Strong">
    <w:name w:val="Strong"/>
    <w:uiPriority w:val="22"/>
    <w:qFormat w:val="1"/>
    <w:rsid w:val="0004032D"/>
    <w:rPr>
      <w:b w:val="1"/>
      <w:bCs w:val="1"/>
    </w:rPr>
  </w:style>
  <w:style w:type="character" w:styleId="Heading2Char" w:customStyle="1">
    <w:name w:val="Heading 2 Char"/>
    <w:link w:val="Heading2"/>
    <w:semiHidden w:val="1"/>
    <w:rsid w:val="00A27336"/>
    <w:rPr>
      <w:rFonts w:ascii="Cambria" w:eastAsia="Times New Roman" w:hAnsi="Cambria"/>
      <w:b w:val="1"/>
      <w:bCs w:val="1"/>
      <w:i w:val="1"/>
      <w:iCs w:val="1"/>
      <w:sz w:val="28"/>
      <w:szCs w:val="28"/>
      <w:lang w:eastAsia="en-US" w:val="en-US"/>
    </w:rPr>
  </w:style>
  <w:style w:type="character" w:styleId="Heading3Char" w:customStyle="1">
    <w:name w:val="Heading 3 Char"/>
    <w:link w:val="Heading3"/>
    <w:semiHidden w:val="1"/>
    <w:rsid w:val="00A27336"/>
    <w:rPr>
      <w:rFonts w:ascii="Cambria" w:eastAsia="Times New Roman" w:hAnsi="Cambria"/>
      <w:b w:val="1"/>
      <w:bCs w:val="1"/>
      <w:sz w:val="26"/>
      <w:szCs w:val="26"/>
      <w:lang w:eastAsia="en-US" w:val="en-US"/>
    </w:rPr>
  </w:style>
  <w:style w:type="character" w:styleId="Heading4Char" w:customStyle="1">
    <w:name w:val="Heading 4 Char"/>
    <w:link w:val="Heading4"/>
    <w:semiHidden w:val="1"/>
    <w:rsid w:val="00A27336"/>
    <w:rPr>
      <w:rFonts w:eastAsia="Times New Roman"/>
      <w:b w:val="1"/>
      <w:bCs w:val="1"/>
      <w:sz w:val="28"/>
      <w:szCs w:val="28"/>
      <w:lang w:eastAsia="en-US" w:val="en-US"/>
    </w:rPr>
  </w:style>
  <w:style w:type="paragraph" w:styleId="urai" w:customStyle="1">
    <w:name w:val="urai"/>
    <w:basedOn w:val="Normal"/>
    <w:rsid w:val="00A27336"/>
    <w:pPr>
      <w:spacing w:after="120" w:line="240" w:lineRule="auto"/>
      <w:ind w:left="357"/>
      <w:jc w:val="both"/>
    </w:pPr>
    <w:rPr>
      <w:rFonts w:ascii="Arial" w:eastAsia="Times New Roman" w:hAnsi="Arial"/>
      <w:szCs w:val="20"/>
      <w:lang w:val="en-US"/>
    </w:rPr>
  </w:style>
  <w:style w:type="paragraph" w:styleId="body4" w:customStyle="1">
    <w:name w:val="body 4"/>
    <w:basedOn w:val="Normal"/>
    <w:rsid w:val="00A27336"/>
    <w:pPr>
      <w:spacing w:after="60" w:line="240" w:lineRule="auto"/>
      <w:ind w:left="1071" w:hanging="357"/>
      <w:jc w:val="both"/>
    </w:pPr>
    <w:rPr>
      <w:rFonts w:ascii="Arial" w:eastAsia="Times New Roman" w:hAnsi="Arial"/>
      <w:szCs w:val="20"/>
      <w:lang w:val="en-US"/>
    </w:rPr>
  </w:style>
  <w:style w:type="table" w:styleId="TableGrid">
    <w:name w:val="Table Grid"/>
    <w:basedOn w:val="TableNormal"/>
    <w:uiPriority w:val="59"/>
    <w:rsid w:val="00AD3357"/>
    <w:pPr>
      <w:widowControl w:val="0"/>
    </w:pPr>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uiPriority w:val="99"/>
    <w:unhideWhenUsed w:val="1"/>
    <w:rsid w:val="00BB70CC"/>
    <w:rPr>
      <w:color w:val="0563c1"/>
      <w:u w:val="single"/>
    </w:rPr>
  </w:style>
  <w:style w:type="numbering" w:styleId="Style1" w:customStyle="1">
    <w:name w:val="Style1"/>
    <w:rsid w:val="008C459E"/>
    <w:pPr>
      <w:numPr>
        <w:numId w:val="15"/>
      </w:numPr>
    </w:pPr>
  </w:style>
  <w:style w:type="character" w:styleId="ListParagraphChar" w:customStyle="1">
    <w:name w:val="List Paragraph Char"/>
    <w:aliases w:val="List Paragraph1 Char,Recommendation Char,List Paragraph11 Char,Dot pt Char,F5 List Paragraph Char,No Spacing1 Char,List Paragraph Char Char Char Char,Indicator Text Char,Numbered Para 1 Char,Bullet 1 Char,List Paragraph12 Char"/>
    <w:link w:val="ListParagraph"/>
    <w:rsid w:val="001E006C"/>
    <w:rPr>
      <w:rFonts w:ascii="Times New Roman" w:eastAsia="SimSun" w:hAnsi="Times New Roman"/>
      <w:sz w:val="24"/>
      <w:lang w:eastAsia="id-ID" w:val="id-ID"/>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15.0" w:type="dxa"/>
        <w:left w:w="115.0" w:type="dxa"/>
        <w:bottom w:w="115.0" w:type="dxa"/>
        <w:right w:w="115.0" w:type="dxa"/>
      </w:tblCellMar>
    </w:tbl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115.0" w:type="dxa"/>
        <w:left w:w="115.0" w:type="dxa"/>
        <w:bottom w:w="115.0" w:type="dxa"/>
        <w:right w:w="115.0" w:type="dxa"/>
      </w:tblCellMar>
    </w:tblPr>
  </w:style>
  <w:style w:type="paragraph" w:styleId="Subtitle">
    <w:name w:val="Subtitle"/>
    <w:basedOn w:val="Normal"/>
    <w:next w:val="Normal"/>
    <w:pPr>
      <w:spacing w:after="0" w:line="240" w:lineRule="auto"/>
      <w:jc w:val="center"/>
    </w:pPr>
    <w:rPr>
      <w:rFonts w:ascii="Times New Roman" w:cs="Times New Roman" w:eastAsia="Times New Roman" w:hAnsi="Times New Roman"/>
      <w:b w:val="1"/>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15.0" w:type="dxa"/>
        <w:left w:w="115.0" w:type="dxa"/>
        <w:bottom w:w="1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kKU9Th+bh5Mpu+spR441U50seA==">CgMxLjAaHwoBMBIaChgICVIUChJ0YWJsZS45NjZ1ZzFtdHI5dHA4AHIhMUhjbjdzRTJkNnpmMXo2YWU1QU0wcmxzd1pPdkJBZVRG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2024-06-20T01:41:00Z</dcterms:created>
  <dc:creator>Rangga Gautama</dc:creator>
</cp:coreProperties>
</file>